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16" w:rsidRPr="00331FE3" w:rsidRDefault="008B2216" w:rsidP="008B2216">
      <w:pPr>
        <w:jc w:val="center"/>
        <w:rPr>
          <w:lang w:val="en-GB"/>
        </w:rPr>
      </w:pPr>
    </w:p>
    <w:p w:rsidR="008B2216" w:rsidRPr="00331FE3" w:rsidRDefault="008B2216" w:rsidP="00C842F6">
      <w:pPr>
        <w:rPr>
          <w:lang w:val="en-GB"/>
        </w:rPr>
      </w:pPr>
    </w:p>
    <w:p w:rsidR="008B2216" w:rsidRPr="00331FE3" w:rsidRDefault="008B2216" w:rsidP="008B2216">
      <w:pPr>
        <w:jc w:val="center"/>
        <w:rPr>
          <w:lang w:val="en-GB"/>
        </w:rPr>
      </w:pPr>
    </w:p>
    <w:p w:rsidR="00AF1D91" w:rsidRPr="00331FE3" w:rsidRDefault="00AF1D91" w:rsidP="00C842F6">
      <w:pPr>
        <w:jc w:val="center"/>
        <w:rPr>
          <w:b/>
          <w:sz w:val="24"/>
          <w:szCs w:val="24"/>
          <w:lang w:val="en-GB"/>
        </w:rPr>
      </w:pPr>
    </w:p>
    <w:p w:rsidR="00AF1D91" w:rsidRPr="00331FE3" w:rsidRDefault="00AF1D91" w:rsidP="00C842F6">
      <w:pPr>
        <w:jc w:val="center"/>
        <w:rPr>
          <w:b/>
          <w:sz w:val="24"/>
          <w:szCs w:val="24"/>
          <w:lang w:val="en-GB"/>
        </w:rPr>
      </w:pPr>
    </w:p>
    <w:p w:rsidR="00EE0E44" w:rsidRPr="00331FE3" w:rsidRDefault="008B2216" w:rsidP="00C842F6">
      <w:pPr>
        <w:jc w:val="center"/>
        <w:rPr>
          <w:b/>
          <w:sz w:val="24"/>
          <w:szCs w:val="24"/>
          <w:lang w:val="en-GB"/>
        </w:rPr>
      </w:pPr>
      <w:r w:rsidRPr="00331FE3">
        <w:rPr>
          <w:b/>
          <w:sz w:val="24"/>
          <w:szCs w:val="24"/>
          <w:lang w:val="en-GB"/>
        </w:rPr>
        <w:t xml:space="preserve">Partner </w:t>
      </w:r>
      <w:r w:rsidR="00C842F6" w:rsidRPr="00331FE3">
        <w:rPr>
          <w:b/>
          <w:sz w:val="24"/>
          <w:szCs w:val="24"/>
          <w:lang w:val="en-GB"/>
        </w:rPr>
        <w:t>self-</w:t>
      </w:r>
      <w:r w:rsidRPr="00331FE3">
        <w:rPr>
          <w:b/>
          <w:sz w:val="24"/>
          <w:szCs w:val="24"/>
          <w:lang w:val="en-GB"/>
        </w:rPr>
        <w:t>declaration</w:t>
      </w:r>
    </w:p>
    <w:p w:rsidR="008B2216" w:rsidRPr="00331FE3" w:rsidRDefault="00EE0E44" w:rsidP="00C842F6">
      <w:pPr>
        <w:jc w:val="center"/>
        <w:rPr>
          <w:b/>
          <w:sz w:val="24"/>
          <w:szCs w:val="24"/>
          <w:lang w:val="en-GB"/>
        </w:rPr>
      </w:pPr>
      <w:r w:rsidRPr="00331FE3">
        <w:rPr>
          <w:b/>
          <w:sz w:val="24"/>
          <w:szCs w:val="24"/>
          <w:lang w:val="en-GB"/>
        </w:rPr>
        <w:t>Legal status and</w:t>
      </w:r>
      <w:r w:rsidR="00C842F6" w:rsidRPr="00331FE3">
        <w:rPr>
          <w:b/>
          <w:sz w:val="24"/>
          <w:szCs w:val="24"/>
          <w:lang w:val="en-GB"/>
        </w:rPr>
        <w:t xml:space="preserve"> undertaking not in</w:t>
      </w:r>
      <w:r w:rsidR="008B2216" w:rsidRPr="00331FE3">
        <w:rPr>
          <w:b/>
          <w:sz w:val="24"/>
          <w:szCs w:val="24"/>
          <w:lang w:val="en-GB"/>
        </w:rPr>
        <w:t xml:space="preserve"> difficulty</w:t>
      </w:r>
    </w:p>
    <w:p w:rsidR="00EE0E44" w:rsidRPr="00331FE3" w:rsidRDefault="00EE0E44" w:rsidP="0073448D">
      <w:pPr>
        <w:rPr>
          <w:b/>
          <w:sz w:val="24"/>
          <w:szCs w:val="24"/>
          <w:lang w:val="en-GB"/>
        </w:rPr>
      </w:pPr>
    </w:p>
    <w:p w:rsidR="0073448D" w:rsidRPr="00331FE3" w:rsidRDefault="0073448D" w:rsidP="0073448D">
      <w:pPr>
        <w:rPr>
          <w:b/>
          <w:sz w:val="24"/>
          <w:szCs w:val="24"/>
          <w:lang w:val="en-GB"/>
        </w:rPr>
      </w:pPr>
    </w:p>
    <w:p w:rsidR="0073448D" w:rsidRPr="00331FE3" w:rsidRDefault="0073448D" w:rsidP="0073448D">
      <w:pPr>
        <w:rPr>
          <w:b/>
          <w:sz w:val="24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902"/>
      </w:tblGrid>
      <w:tr w:rsidR="0073448D" w:rsidRPr="00331FE3" w:rsidTr="0073448D">
        <w:tc>
          <w:tcPr>
            <w:tcW w:w="4219" w:type="dxa"/>
          </w:tcPr>
          <w:p w:rsidR="0073448D" w:rsidRPr="00331FE3" w:rsidRDefault="0073448D" w:rsidP="0073448D">
            <w:pPr>
              <w:rPr>
                <w:b/>
                <w:lang w:val="en-GB"/>
              </w:rPr>
            </w:pPr>
            <w:r w:rsidRPr="00331FE3">
              <w:rPr>
                <w:b/>
                <w:lang w:val="en-GB"/>
              </w:rPr>
              <w:t>Project acronym</w:t>
            </w:r>
          </w:p>
        </w:tc>
        <w:tc>
          <w:tcPr>
            <w:tcW w:w="4991" w:type="dxa"/>
          </w:tcPr>
          <w:p w:rsidR="0073448D" w:rsidRPr="00331FE3" w:rsidRDefault="0073448D" w:rsidP="0073448D">
            <w:pPr>
              <w:rPr>
                <w:lang w:val="en-GB"/>
              </w:rPr>
            </w:pPr>
          </w:p>
        </w:tc>
      </w:tr>
      <w:tr w:rsidR="0073448D" w:rsidRPr="002D7929" w:rsidTr="0073448D">
        <w:tc>
          <w:tcPr>
            <w:tcW w:w="4219" w:type="dxa"/>
          </w:tcPr>
          <w:p w:rsidR="0073448D" w:rsidRPr="00331FE3" w:rsidRDefault="0073448D" w:rsidP="00E12D65">
            <w:pPr>
              <w:rPr>
                <w:b/>
                <w:lang w:val="en-GB"/>
              </w:rPr>
            </w:pPr>
            <w:r w:rsidRPr="00331FE3">
              <w:rPr>
                <w:b/>
                <w:lang w:val="en-GB"/>
              </w:rPr>
              <w:t>Project iden</w:t>
            </w:r>
            <w:r w:rsidRPr="00D82D15">
              <w:rPr>
                <w:b/>
                <w:lang w:val="en-GB"/>
              </w:rPr>
              <w:t>tification number</w:t>
            </w:r>
            <w:r w:rsidR="0037632E" w:rsidRPr="00D82D15">
              <w:rPr>
                <w:b/>
                <w:lang w:val="en-GB"/>
              </w:rPr>
              <w:t xml:space="preserve"> (</w:t>
            </w:r>
            <w:r w:rsidR="00E12D65" w:rsidRPr="00D82D15">
              <w:rPr>
                <w:b/>
                <w:lang w:val="en-GB"/>
              </w:rPr>
              <w:t xml:space="preserve">IMR6- </w:t>
            </w:r>
            <w:r w:rsidR="0037632E" w:rsidRPr="00D82D15">
              <w:rPr>
                <w:b/>
                <w:highlight w:val="yellow"/>
                <w:lang w:val="en-GB"/>
              </w:rPr>
              <w:t>XXX</w:t>
            </w:r>
            <w:r w:rsidR="009C081C" w:rsidRPr="00D82D15">
              <w:rPr>
                <w:b/>
                <w:lang w:val="en-GB"/>
              </w:rPr>
              <w:t>)</w:t>
            </w:r>
          </w:p>
        </w:tc>
        <w:tc>
          <w:tcPr>
            <w:tcW w:w="4991" w:type="dxa"/>
          </w:tcPr>
          <w:p w:rsidR="0073448D" w:rsidRPr="00331FE3" w:rsidRDefault="0073448D" w:rsidP="0073448D">
            <w:pPr>
              <w:rPr>
                <w:lang w:val="en-GB"/>
              </w:rPr>
            </w:pPr>
          </w:p>
        </w:tc>
      </w:tr>
      <w:tr w:rsidR="0073448D" w:rsidRPr="002D7929" w:rsidTr="0073448D">
        <w:tc>
          <w:tcPr>
            <w:tcW w:w="4219" w:type="dxa"/>
          </w:tcPr>
          <w:p w:rsidR="0073448D" w:rsidRPr="00331FE3" w:rsidRDefault="0073448D" w:rsidP="0073448D">
            <w:pPr>
              <w:rPr>
                <w:b/>
                <w:lang w:val="en-GB"/>
              </w:rPr>
            </w:pPr>
            <w:r w:rsidRPr="00331FE3">
              <w:rPr>
                <w:b/>
                <w:lang w:val="en-GB"/>
              </w:rPr>
              <w:t>Project partner (name of the organisation)</w:t>
            </w:r>
          </w:p>
        </w:tc>
        <w:tc>
          <w:tcPr>
            <w:tcW w:w="4991" w:type="dxa"/>
          </w:tcPr>
          <w:p w:rsidR="0073448D" w:rsidRPr="00331FE3" w:rsidRDefault="0073448D" w:rsidP="0073448D">
            <w:pPr>
              <w:rPr>
                <w:lang w:val="en-GB"/>
              </w:rPr>
            </w:pPr>
          </w:p>
        </w:tc>
      </w:tr>
    </w:tbl>
    <w:p w:rsidR="0073448D" w:rsidRPr="00331FE3" w:rsidRDefault="0073448D" w:rsidP="0073448D">
      <w:pPr>
        <w:rPr>
          <w:b/>
          <w:sz w:val="24"/>
          <w:szCs w:val="24"/>
          <w:lang w:val="en-GB"/>
        </w:rPr>
      </w:pPr>
    </w:p>
    <w:p w:rsidR="0073448D" w:rsidRPr="00331FE3" w:rsidRDefault="0073448D" w:rsidP="0073448D">
      <w:pPr>
        <w:rPr>
          <w:lang w:val="en-GB"/>
        </w:rPr>
      </w:pPr>
    </w:p>
    <w:p w:rsidR="0073448D" w:rsidRPr="00331FE3" w:rsidRDefault="0073448D" w:rsidP="00C842F6">
      <w:pPr>
        <w:jc w:val="center"/>
        <w:rPr>
          <w:lang w:val="en-GB"/>
        </w:rPr>
      </w:pPr>
    </w:p>
    <w:p w:rsidR="0073448D" w:rsidRPr="00331FE3" w:rsidRDefault="0073448D" w:rsidP="00C842F6">
      <w:pPr>
        <w:jc w:val="center"/>
        <w:rPr>
          <w:lang w:val="en-GB"/>
        </w:rPr>
      </w:pPr>
    </w:p>
    <w:p w:rsidR="0073448D" w:rsidRPr="00331FE3" w:rsidRDefault="0073448D" w:rsidP="0073448D">
      <w:pPr>
        <w:rPr>
          <w:b/>
          <w:sz w:val="24"/>
          <w:szCs w:val="24"/>
          <w:lang w:val="en-GB"/>
        </w:rPr>
      </w:pPr>
      <w:r w:rsidRPr="00331FE3">
        <w:rPr>
          <w:b/>
          <w:sz w:val="24"/>
          <w:szCs w:val="24"/>
          <w:lang w:val="en-GB"/>
        </w:rPr>
        <w:t>Legal status</w:t>
      </w:r>
    </w:p>
    <w:p w:rsidR="00B37403" w:rsidRPr="00331FE3" w:rsidRDefault="00B37403" w:rsidP="00EE0E44">
      <w:pPr>
        <w:autoSpaceDE w:val="0"/>
        <w:autoSpaceDN w:val="0"/>
        <w:adjustRightInd w:val="0"/>
        <w:spacing w:line="240" w:lineRule="auto"/>
        <w:rPr>
          <w:i/>
          <w:lang w:val="en-GB"/>
        </w:rPr>
      </w:pPr>
      <w:r w:rsidRPr="00331FE3">
        <w:rPr>
          <w:i/>
          <w:lang w:val="en-GB"/>
        </w:rPr>
        <w:t xml:space="preserve">The definition of the legal status can be found in </w:t>
      </w:r>
      <w:r w:rsidRPr="00331FE3">
        <w:rPr>
          <w:i/>
          <w:u w:val="single"/>
          <w:lang w:val="en-GB"/>
        </w:rPr>
        <w:t>annex A</w:t>
      </w:r>
      <w:r w:rsidRPr="00331FE3">
        <w:rPr>
          <w:i/>
          <w:lang w:val="en-GB"/>
        </w:rPr>
        <w:t xml:space="preserve">. </w:t>
      </w:r>
    </w:p>
    <w:p w:rsidR="00B37403" w:rsidRPr="00331FE3" w:rsidRDefault="00B37403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</w:p>
    <w:p w:rsidR="00EE0E44" w:rsidRPr="00331FE3" w:rsidRDefault="0073448D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  <w:r w:rsidRPr="00331FE3">
        <w:rPr>
          <w:lang w:val="en-GB"/>
        </w:rPr>
        <w:t>The organis</w:t>
      </w:r>
      <w:r w:rsidR="00EE0E44" w:rsidRPr="00331FE3">
        <w:rPr>
          <w:lang w:val="en-GB"/>
        </w:rPr>
        <w:t>ation I represent is a:</w:t>
      </w:r>
    </w:p>
    <w:p w:rsidR="00EE0E44" w:rsidRPr="00331FE3" w:rsidRDefault="00EE0E44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</w:p>
    <w:p w:rsidR="00EE0E44" w:rsidRPr="00331FE3" w:rsidRDefault="00D82D15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  <w:sdt>
        <w:sdtPr>
          <w:rPr>
            <w:lang w:val="en-GB"/>
          </w:rPr>
          <w:id w:val="124437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8D" w:rsidRPr="00331FE3">
            <w:rPr>
              <w:rFonts w:ascii="MS Gothic" w:eastAsia="MS Gothic"/>
              <w:lang w:val="en-GB"/>
            </w:rPr>
            <w:t>☐</w:t>
          </w:r>
        </w:sdtContent>
      </w:sdt>
      <w:r w:rsidR="009C081C" w:rsidRPr="00331FE3">
        <w:rPr>
          <w:lang w:val="en-GB"/>
        </w:rPr>
        <w:t xml:space="preserve"> </w:t>
      </w:r>
      <w:r w:rsidR="00427F1D" w:rsidRPr="00331FE3">
        <w:rPr>
          <w:lang w:val="en-GB"/>
        </w:rPr>
        <w:t>Public body or body</w:t>
      </w:r>
      <w:r w:rsidR="00EE0E44" w:rsidRPr="00331FE3">
        <w:rPr>
          <w:lang w:val="en-GB"/>
        </w:rPr>
        <w:t xml:space="preserve"> governed by public law (</w:t>
      </w:r>
      <w:r w:rsidR="00B37403" w:rsidRPr="00331FE3">
        <w:rPr>
          <w:lang w:val="en-GB"/>
        </w:rPr>
        <w:t>in the meaning of article 2 (</w:t>
      </w:r>
      <w:r w:rsidR="00EE0E44" w:rsidRPr="00331FE3">
        <w:rPr>
          <w:lang w:val="en-GB"/>
        </w:rPr>
        <w:t>4</w:t>
      </w:r>
      <w:r w:rsidR="00B37403" w:rsidRPr="00331FE3">
        <w:rPr>
          <w:lang w:val="en-GB"/>
        </w:rPr>
        <w:t>)</w:t>
      </w:r>
      <w:r w:rsidR="00EE0E44" w:rsidRPr="00331FE3">
        <w:rPr>
          <w:lang w:val="en-GB"/>
        </w:rPr>
        <w:t xml:space="preserve"> of</w:t>
      </w:r>
      <w:r w:rsidR="00B37403" w:rsidRPr="00331FE3">
        <w:rPr>
          <w:lang w:val="en-GB"/>
        </w:rPr>
        <w:t xml:space="preserve"> the European</w:t>
      </w:r>
      <w:r w:rsidR="00EE0E44" w:rsidRPr="00331FE3">
        <w:rPr>
          <w:lang w:val="en-GB"/>
        </w:rPr>
        <w:t xml:space="preserve"> Directive 2014/24/EU of 26 February 2014 on </w:t>
      </w:r>
      <w:r w:rsidR="00B37403" w:rsidRPr="00331FE3">
        <w:rPr>
          <w:lang w:val="en-GB"/>
        </w:rPr>
        <w:t>public procurement)</w:t>
      </w:r>
    </w:p>
    <w:p w:rsidR="00EE0E44" w:rsidRPr="00331FE3" w:rsidRDefault="00EE0E44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</w:p>
    <w:p w:rsidR="00EE0E44" w:rsidRPr="00331FE3" w:rsidRDefault="00D82D15" w:rsidP="00EE0E44">
      <w:pPr>
        <w:autoSpaceDE w:val="0"/>
        <w:autoSpaceDN w:val="0"/>
        <w:adjustRightInd w:val="0"/>
        <w:spacing w:line="240" w:lineRule="auto"/>
        <w:rPr>
          <w:lang w:val="en-GB"/>
        </w:rPr>
      </w:pPr>
      <w:sdt>
        <w:sdtPr>
          <w:rPr>
            <w:lang w:val="en-GB"/>
          </w:rPr>
          <w:id w:val="3728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8D" w:rsidRPr="00331FE3">
            <w:rPr>
              <w:rFonts w:ascii="MS Gothic" w:eastAsia="MS Gothic" w:hAnsi="MS Gothic"/>
              <w:lang w:val="en-GB"/>
            </w:rPr>
            <w:t>☐</w:t>
          </w:r>
        </w:sdtContent>
      </w:sdt>
      <w:r w:rsidR="00EE0E44" w:rsidRPr="00331FE3">
        <w:rPr>
          <w:lang w:val="en-GB"/>
        </w:rPr>
        <w:t>Private body</w:t>
      </w:r>
    </w:p>
    <w:p w:rsidR="00EE0E44" w:rsidRPr="00331FE3" w:rsidRDefault="00EE0E44" w:rsidP="00C842F6">
      <w:pPr>
        <w:jc w:val="center"/>
        <w:rPr>
          <w:b/>
          <w:sz w:val="24"/>
          <w:szCs w:val="24"/>
          <w:lang w:val="en-GB"/>
        </w:rPr>
      </w:pPr>
    </w:p>
    <w:p w:rsidR="00EE0E44" w:rsidRPr="00331FE3" w:rsidRDefault="00EE0E44" w:rsidP="00EE0E44">
      <w:pPr>
        <w:rPr>
          <w:b/>
          <w:sz w:val="24"/>
          <w:szCs w:val="24"/>
          <w:lang w:val="en-GB"/>
        </w:rPr>
      </w:pPr>
    </w:p>
    <w:p w:rsidR="00EE0E44" w:rsidRPr="00331FE3" w:rsidRDefault="00EE0E44" w:rsidP="00EE0E44">
      <w:pPr>
        <w:rPr>
          <w:b/>
          <w:sz w:val="24"/>
          <w:szCs w:val="24"/>
          <w:lang w:val="en-GB"/>
        </w:rPr>
      </w:pPr>
      <w:r w:rsidRPr="00331FE3">
        <w:rPr>
          <w:b/>
          <w:sz w:val="24"/>
          <w:szCs w:val="24"/>
          <w:lang w:val="en-GB"/>
        </w:rPr>
        <w:t>Not in difficulty</w:t>
      </w:r>
    </w:p>
    <w:p w:rsidR="008B2216" w:rsidRPr="00331FE3" w:rsidRDefault="008B2216" w:rsidP="008B2216">
      <w:pPr>
        <w:rPr>
          <w:i/>
          <w:lang w:val="en-GB"/>
        </w:rPr>
      </w:pPr>
      <w:r w:rsidRPr="00331FE3">
        <w:rPr>
          <w:i/>
          <w:lang w:val="en-GB"/>
        </w:rPr>
        <w:t xml:space="preserve">According to the EU </w:t>
      </w:r>
      <w:r w:rsidRPr="00D82D15">
        <w:rPr>
          <w:i/>
          <w:lang w:val="en-GB"/>
        </w:rPr>
        <w:t xml:space="preserve">legislation (Regulation (EU) </w:t>
      </w:r>
      <w:r w:rsidR="001B6759" w:rsidRPr="00D82D15">
        <w:rPr>
          <w:i/>
          <w:lang w:val="en-GB"/>
        </w:rPr>
        <w:t>2021/1058</w:t>
      </w:r>
      <w:r w:rsidRPr="00D82D15">
        <w:rPr>
          <w:i/>
          <w:lang w:val="en-GB"/>
        </w:rPr>
        <w:t xml:space="preserve">, Article </w:t>
      </w:r>
      <w:r w:rsidR="001B6759" w:rsidRPr="00D82D15">
        <w:rPr>
          <w:i/>
          <w:lang w:val="en-GB"/>
        </w:rPr>
        <w:t>7</w:t>
      </w:r>
      <w:r w:rsidRPr="00D82D15">
        <w:rPr>
          <w:i/>
          <w:lang w:val="en-GB"/>
        </w:rPr>
        <w:t>(</w:t>
      </w:r>
      <w:r w:rsidR="001B6759" w:rsidRPr="00D82D15">
        <w:rPr>
          <w:i/>
          <w:lang w:val="en-GB"/>
        </w:rPr>
        <w:t>1</w:t>
      </w:r>
      <w:r w:rsidRPr="00D82D15">
        <w:rPr>
          <w:i/>
          <w:lang w:val="en-GB"/>
        </w:rPr>
        <w:t>)) it is</w:t>
      </w:r>
      <w:r w:rsidRPr="00331FE3">
        <w:rPr>
          <w:i/>
          <w:lang w:val="en-GB"/>
        </w:rPr>
        <w:t xml:space="preserve"> not eligible for undertakings in difficulty to receive funding from the European Regional Development Fund (ERDF). </w:t>
      </w:r>
    </w:p>
    <w:p w:rsidR="008B2216" w:rsidRPr="00331FE3" w:rsidRDefault="008B2216" w:rsidP="008B2216">
      <w:pPr>
        <w:rPr>
          <w:i/>
          <w:lang w:val="en-GB"/>
        </w:rPr>
      </w:pPr>
      <w:r w:rsidRPr="00331FE3">
        <w:rPr>
          <w:i/>
          <w:lang w:val="en-GB"/>
        </w:rPr>
        <w:t>Please complete this declaration</w:t>
      </w:r>
      <w:r w:rsidR="00C842F6" w:rsidRPr="00331FE3">
        <w:rPr>
          <w:i/>
          <w:lang w:val="en-GB"/>
        </w:rPr>
        <w:t xml:space="preserve"> to confirm that you organisation is not an undertaking in difficulty in line with the definition of Regulation (EU) No 651/2014, Article 2 (18). </w:t>
      </w:r>
      <w:r w:rsidR="00B37403" w:rsidRPr="00331FE3">
        <w:rPr>
          <w:i/>
          <w:lang w:val="en-GB"/>
        </w:rPr>
        <w:t>The</w:t>
      </w:r>
      <w:r w:rsidR="00C842F6" w:rsidRPr="00331FE3">
        <w:rPr>
          <w:i/>
          <w:lang w:val="en-GB"/>
        </w:rPr>
        <w:t xml:space="preserve"> definition </w:t>
      </w:r>
      <w:r w:rsidR="00B37403" w:rsidRPr="00331FE3">
        <w:rPr>
          <w:i/>
          <w:lang w:val="en-GB"/>
        </w:rPr>
        <w:t xml:space="preserve">of an undertaking in difficulty </w:t>
      </w:r>
      <w:r w:rsidR="00C842F6" w:rsidRPr="00331FE3">
        <w:rPr>
          <w:i/>
          <w:lang w:val="en-GB"/>
        </w:rPr>
        <w:t xml:space="preserve">is attached </w:t>
      </w:r>
      <w:r w:rsidR="00EA0925" w:rsidRPr="00331FE3">
        <w:rPr>
          <w:i/>
          <w:lang w:val="en-GB"/>
        </w:rPr>
        <w:t xml:space="preserve">for reference </w:t>
      </w:r>
      <w:r w:rsidR="00B37403" w:rsidRPr="00331FE3">
        <w:rPr>
          <w:i/>
          <w:lang w:val="en-GB"/>
        </w:rPr>
        <w:t xml:space="preserve">in </w:t>
      </w:r>
      <w:r w:rsidR="00B37403" w:rsidRPr="00331FE3">
        <w:rPr>
          <w:i/>
          <w:u w:val="single"/>
          <w:lang w:val="en-GB"/>
        </w:rPr>
        <w:t>annex B</w:t>
      </w:r>
      <w:r w:rsidR="00C842F6" w:rsidRPr="00331FE3">
        <w:rPr>
          <w:i/>
          <w:lang w:val="en-GB"/>
        </w:rPr>
        <w:t>.</w:t>
      </w:r>
      <w:r w:rsidR="00EA0925" w:rsidRPr="00331FE3">
        <w:rPr>
          <w:i/>
          <w:lang w:val="en-GB"/>
        </w:rPr>
        <w:t xml:space="preserve"> </w:t>
      </w:r>
    </w:p>
    <w:p w:rsidR="008B2216" w:rsidRPr="00331FE3" w:rsidRDefault="008B2216" w:rsidP="008B2216">
      <w:pPr>
        <w:rPr>
          <w:lang w:val="en-GB"/>
        </w:rPr>
      </w:pPr>
    </w:p>
    <w:p w:rsidR="00C842F6" w:rsidRPr="00331FE3" w:rsidRDefault="00C842F6" w:rsidP="008B2216">
      <w:pPr>
        <w:rPr>
          <w:lang w:val="en-GB"/>
        </w:rPr>
      </w:pPr>
    </w:p>
    <w:p w:rsidR="008B2216" w:rsidRPr="00331FE3" w:rsidRDefault="008B2216" w:rsidP="008B2216">
      <w:pPr>
        <w:rPr>
          <w:lang w:val="en-GB"/>
        </w:rPr>
      </w:pPr>
      <w:r w:rsidRPr="00331FE3">
        <w:rPr>
          <w:lang w:val="en-GB"/>
        </w:rPr>
        <w:t xml:space="preserve">I, the undersigned, representing </w:t>
      </w:r>
      <w:r w:rsidR="0073448D" w:rsidRPr="00331FE3">
        <w:rPr>
          <w:highlight w:val="yellow"/>
          <w:lang w:val="en-GB"/>
        </w:rPr>
        <w:t>[n</w:t>
      </w:r>
      <w:r w:rsidRPr="00331FE3">
        <w:rPr>
          <w:highlight w:val="yellow"/>
          <w:lang w:val="en-GB"/>
        </w:rPr>
        <w:t>ame of the organisation</w:t>
      </w:r>
      <w:r w:rsidR="0073448D" w:rsidRPr="00331FE3">
        <w:rPr>
          <w:highlight w:val="yellow"/>
          <w:lang w:val="en-GB"/>
        </w:rPr>
        <w:t>],</w:t>
      </w:r>
      <w:r w:rsidRPr="00331FE3">
        <w:rPr>
          <w:highlight w:val="yellow"/>
          <w:lang w:val="en-GB"/>
        </w:rPr>
        <w:t xml:space="preserve"> </w:t>
      </w:r>
      <w:r w:rsidRPr="00331FE3">
        <w:rPr>
          <w:lang w:val="en-GB"/>
        </w:rPr>
        <w:t xml:space="preserve">partner in the </w:t>
      </w:r>
      <w:r w:rsidR="0073448D" w:rsidRPr="00331FE3">
        <w:rPr>
          <w:highlight w:val="yellow"/>
          <w:lang w:val="en-GB"/>
        </w:rPr>
        <w:t>[project acronym] [project number]</w:t>
      </w:r>
      <w:r w:rsidRPr="00331FE3">
        <w:rPr>
          <w:lang w:val="en-GB"/>
        </w:rPr>
        <w:t xml:space="preserve">, declare that my organisation is </w:t>
      </w:r>
      <w:r w:rsidRPr="00331FE3">
        <w:rPr>
          <w:u w:val="single"/>
          <w:lang w:val="en-GB"/>
        </w:rPr>
        <w:t>not in difficulty</w:t>
      </w:r>
      <w:r w:rsidRPr="00331FE3">
        <w:rPr>
          <w:lang w:val="en-GB"/>
        </w:rPr>
        <w:t xml:space="preserve"> in the meaning of the Regulation (EU) No 651/2014, Article 2 (18)</w:t>
      </w:r>
      <w:r w:rsidR="00C842F6" w:rsidRPr="00331FE3">
        <w:rPr>
          <w:lang w:val="en-GB"/>
        </w:rPr>
        <w:t xml:space="preserve">. </w:t>
      </w:r>
    </w:p>
    <w:p w:rsidR="00C842F6" w:rsidRPr="00331FE3" w:rsidRDefault="00C842F6" w:rsidP="008B2216">
      <w:pPr>
        <w:rPr>
          <w:lang w:val="en-GB"/>
        </w:rPr>
      </w:pPr>
    </w:p>
    <w:p w:rsidR="00C842F6" w:rsidRPr="00331FE3" w:rsidRDefault="00C842F6" w:rsidP="008B2216">
      <w:pPr>
        <w:rPr>
          <w:lang w:val="en-GB"/>
        </w:rPr>
      </w:pPr>
    </w:p>
    <w:p w:rsidR="00C842F6" w:rsidRPr="00331FE3" w:rsidRDefault="00C842F6" w:rsidP="00C842F6">
      <w:pPr>
        <w:rPr>
          <w:lang w:val="en-GB"/>
        </w:rPr>
      </w:pPr>
    </w:p>
    <w:p w:rsidR="00C842F6" w:rsidRPr="00331FE3" w:rsidRDefault="00C842F6" w:rsidP="00C842F6">
      <w:pPr>
        <w:rPr>
          <w:lang w:val="en-GB"/>
        </w:rPr>
      </w:pPr>
      <w:r w:rsidRPr="00331FE3">
        <w:rPr>
          <w:lang w:val="en-GB"/>
        </w:rPr>
        <w:t>___________________________</w:t>
      </w:r>
      <w:r w:rsidR="00EA0925" w:rsidRPr="00331FE3">
        <w:rPr>
          <w:lang w:val="en-GB"/>
        </w:rPr>
        <w:t xml:space="preserve">             </w:t>
      </w:r>
      <w:r w:rsidR="00EA0925" w:rsidRPr="00331FE3">
        <w:rPr>
          <w:lang w:val="en-GB"/>
        </w:rPr>
        <w:tab/>
      </w:r>
      <w:r w:rsidR="00EA0925" w:rsidRPr="00331FE3">
        <w:rPr>
          <w:lang w:val="en-GB"/>
        </w:rPr>
        <w:tab/>
        <w:t xml:space="preserve"> </w:t>
      </w:r>
      <w:r w:rsidRPr="00331FE3">
        <w:rPr>
          <w:lang w:val="en-GB"/>
        </w:rPr>
        <w:t>______________________</w:t>
      </w:r>
    </w:p>
    <w:p w:rsidR="00C842F6" w:rsidRPr="00331FE3" w:rsidRDefault="00C842F6" w:rsidP="00C842F6">
      <w:pPr>
        <w:rPr>
          <w:lang w:val="en-GB"/>
        </w:rPr>
      </w:pPr>
      <w:r w:rsidRPr="00331FE3">
        <w:rPr>
          <w:i/>
          <w:lang w:val="en-GB"/>
        </w:rPr>
        <w:t>Signature</w:t>
      </w:r>
      <w:r w:rsidR="00EA0925" w:rsidRPr="00331FE3">
        <w:rPr>
          <w:lang w:val="en-GB"/>
        </w:rPr>
        <w:t xml:space="preserve">                         </w:t>
      </w:r>
      <w:r w:rsidR="00EA0925" w:rsidRPr="00331FE3">
        <w:rPr>
          <w:lang w:val="en-GB"/>
        </w:rPr>
        <w:tab/>
      </w:r>
      <w:r w:rsidR="00EA0925" w:rsidRPr="00331FE3">
        <w:rPr>
          <w:lang w:val="en-GB"/>
        </w:rPr>
        <w:tab/>
      </w:r>
      <w:r w:rsidR="00EA0925" w:rsidRPr="00331FE3">
        <w:rPr>
          <w:lang w:val="en-GB"/>
        </w:rPr>
        <w:tab/>
      </w:r>
      <w:r w:rsidR="00EA0925" w:rsidRPr="00331FE3">
        <w:rPr>
          <w:lang w:val="en-GB"/>
        </w:rPr>
        <w:tab/>
      </w:r>
      <w:r w:rsidR="00EA0925" w:rsidRPr="00331FE3">
        <w:rPr>
          <w:lang w:val="en-GB"/>
        </w:rPr>
        <w:tab/>
      </w:r>
      <w:r w:rsidRPr="00331FE3">
        <w:rPr>
          <w:i/>
          <w:lang w:val="en-GB"/>
        </w:rPr>
        <w:t>Date</w:t>
      </w:r>
    </w:p>
    <w:p w:rsidR="00EA0925" w:rsidRPr="00331FE3" w:rsidRDefault="00EA0925" w:rsidP="00C842F6">
      <w:pPr>
        <w:rPr>
          <w:lang w:val="en-GB"/>
        </w:rPr>
      </w:pPr>
      <w:r w:rsidRPr="00331FE3">
        <w:rPr>
          <w:lang w:val="en-GB"/>
        </w:rPr>
        <w:t xml:space="preserve">                   </w:t>
      </w:r>
    </w:p>
    <w:p w:rsidR="00C842F6" w:rsidRPr="00331FE3" w:rsidRDefault="00EA0925" w:rsidP="00C842F6">
      <w:pPr>
        <w:rPr>
          <w:i/>
          <w:lang w:val="en-GB"/>
        </w:rPr>
      </w:pPr>
      <w:r w:rsidRPr="00331FE3">
        <w:rPr>
          <w:lang w:val="en-GB"/>
        </w:rPr>
        <w:t xml:space="preserve">          </w:t>
      </w:r>
    </w:p>
    <w:p w:rsidR="00C842F6" w:rsidRPr="00331FE3" w:rsidRDefault="00C842F6" w:rsidP="00C842F6">
      <w:pPr>
        <w:rPr>
          <w:lang w:val="en-GB"/>
        </w:rPr>
      </w:pPr>
      <w:r w:rsidRPr="00331FE3">
        <w:rPr>
          <w:lang w:val="en-GB"/>
        </w:rPr>
        <w:t>___________________________</w:t>
      </w:r>
      <w:r w:rsidR="0073448D" w:rsidRPr="00331FE3">
        <w:rPr>
          <w:lang w:val="en-GB"/>
        </w:rPr>
        <w:t>_______________________</w:t>
      </w:r>
    </w:p>
    <w:p w:rsidR="00C842F6" w:rsidRPr="00331FE3" w:rsidRDefault="00C842F6" w:rsidP="00C842F6">
      <w:pPr>
        <w:rPr>
          <w:i/>
          <w:lang w:val="en-GB"/>
        </w:rPr>
      </w:pPr>
      <w:r w:rsidRPr="00331FE3">
        <w:rPr>
          <w:i/>
          <w:lang w:val="en-GB"/>
        </w:rPr>
        <w:t xml:space="preserve">Name and function of the person signing for the </w:t>
      </w:r>
      <w:r w:rsidR="0073448D" w:rsidRPr="00331FE3">
        <w:rPr>
          <w:i/>
          <w:lang w:val="en-GB"/>
        </w:rPr>
        <w:t>project partner</w:t>
      </w:r>
    </w:p>
    <w:p w:rsidR="00C842F6" w:rsidRPr="00331FE3" w:rsidRDefault="00C842F6" w:rsidP="008B2216">
      <w:pPr>
        <w:rPr>
          <w:lang w:val="en-GB"/>
        </w:rPr>
      </w:pPr>
    </w:p>
    <w:p w:rsidR="008B2216" w:rsidRPr="00331FE3" w:rsidRDefault="008B2216" w:rsidP="008B2216">
      <w:pPr>
        <w:jc w:val="center"/>
        <w:rPr>
          <w:lang w:val="en-GB"/>
        </w:rPr>
      </w:pPr>
    </w:p>
    <w:p w:rsidR="00C842F6" w:rsidRPr="00331FE3" w:rsidRDefault="00C842F6">
      <w:pPr>
        <w:spacing w:line="240" w:lineRule="auto"/>
        <w:rPr>
          <w:sz w:val="23"/>
          <w:szCs w:val="23"/>
          <w:lang w:val="en-GB"/>
        </w:rPr>
      </w:pPr>
    </w:p>
    <w:p w:rsidR="00AF1D91" w:rsidRPr="00331FE3" w:rsidRDefault="00AF1D91" w:rsidP="008B2216">
      <w:pPr>
        <w:rPr>
          <w:b/>
          <w:sz w:val="23"/>
          <w:szCs w:val="23"/>
          <w:lang w:val="en-GB"/>
        </w:rPr>
      </w:pPr>
    </w:p>
    <w:p w:rsidR="00AF1D91" w:rsidRPr="00331FE3" w:rsidRDefault="00AF1D91" w:rsidP="008B2216">
      <w:pPr>
        <w:rPr>
          <w:b/>
          <w:sz w:val="23"/>
          <w:szCs w:val="23"/>
          <w:lang w:val="en-GB"/>
        </w:rPr>
      </w:pPr>
    </w:p>
    <w:p w:rsidR="00AF1D91" w:rsidRPr="00331FE3" w:rsidRDefault="00AF1D91" w:rsidP="008B2216">
      <w:pPr>
        <w:rPr>
          <w:b/>
          <w:sz w:val="23"/>
          <w:szCs w:val="23"/>
          <w:lang w:val="en-GB"/>
        </w:rPr>
      </w:pPr>
    </w:p>
    <w:p w:rsidR="00B37403" w:rsidRPr="00331FE3" w:rsidRDefault="00B37403" w:rsidP="00B37403">
      <w:pPr>
        <w:rPr>
          <w:b/>
          <w:lang w:val="en-GB"/>
        </w:rPr>
      </w:pPr>
      <w:r w:rsidRPr="00331FE3">
        <w:rPr>
          <w:b/>
          <w:sz w:val="23"/>
          <w:szCs w:val="23"/>
          <w:lang w:val="en-GB"/>
        </w:rPr>
        <w:t>Annex A</w:t>
      </w:r>
    </w:p>
    <w:p w:rsidR="00331FE3" w:rsidRPr="0037632E" w:rsidRDefault="00331FE3" w:rsidP="0037632E">
      <w:pPr>
        <w:pStyle w:val="Lijstalinea"/>
        <w:numPr>
          <w:ilvl w:val="0"/>
          <w:numId w:val="25"/>
        </w:numPr>
        <w:rPr>
          <w:b/>
          <w:lang w:val="en-GB"/>
        </w:rPr>
      </w:pPr>
      <w:r w:rsidRPr="00331FE3">
        <w:rPr>
          <w:b/>
          <w:lang w:val="en-GB"/>
        </w:rPr>
        <w:t>Body governed by public law</w:t>
      </w:r>
    </w:p>
    <w:p w:rsidR="00427F1D" w:rsidRPr="0037632E" w:rsidRDefault="00427F1D" w:rsidP="0037632E">
      <w:pPr>
        <w:ind w:left="360"/>
        <w:rPr>
          <w:lang w:val="en-GB"/>
        </w:rPr>
      </w:pPr>
      <w:r w:rsidRPr="0037632E">
        <w:rPr>
          <w:lang w:val="en-GB"/>
        </w:rPr>
        <w:t>European Directive 2014/24/EU, article 2 (4)</w:t>
      </w:r>
      <w:r w:rsidR="00331FE3" w:rsidRPr="0037632E">
        <w:rPr>
          <w:lang w:val="en-GB"/>
        </w:rPr>
        <w:t xml:space="preserve">: </w:t>
      </w:r>
      <w:r w:rsidRPr="0037632E">
        <w:rPr>
          <w:lang w:val="en-GB"/>
        </w:rPr>
        <w:t xml:space="preserve"> </w:t>
      </w:r>
    </w:p>
    <w:p w:rsidR="00331FE3" w:rsidRPr="00331FE3" w:rsidRDefault="00331FE3" w:rsidP="0037632E">
      <w:pPr>
        <w:ind w:left="360"/>
        <w:rPr>
          <w:lang w:val="en-GB"/>
        </w:rPr>
      </w:pPr>
    </w:p>
    <w:p w:rsidR="00427F1D" w:rsidRPr="00331FE3" w:rsidRDefault="00331FE3" w:rsidP="0037632E">
      <w:pPr>
        <w:ind w:left="360"/>
        <w:rPr>
          <w:lang w:val="en-GB"/>
        </w:rPr>
      </w:pPr>
      <w:r w:rsidRPr="00331FE3">
        <w:rPr>
          <w:lang w:val="en-GB"/>
        </w:rPr>
        <w:t>‘B</w:t>
      </w:r>
      <w:r w:rsidR="00427F1D" w:rsidRPr="00331FE3">
        <w:rPr>
          <w:lang w:val="en-GB"/>
        </w:rPr>
        <w:t>odies governed by public law’ means bodies that have all of the following characteristics:</w:t>
      </w:r>
    </w:p>
    <w:p w:rsidR="00427F1D" w:rsidRPr="00331FE3" w:rsidRDefault="00427F1D" w:rsidP="0037632E">
      <w:pPr>
        <w:ind w:left="360"/>
        <w:rPr>
          <w:b/>
          <w:lang w:val="en-GB"/>
        </w:rPr>
      </w:pPr>
    </w:p>
    <w:p w:rsidR="00427F1D" w:rsidRPr="00331FE3" w:rsidRDefault="00427F1D" w:rsidP="0037632E">
      <w:pPr>
        <w:pStyle w:val="Lijstalinea"/>
        <w:numPr>
          <w:ilvl w:val="0"/>
          <w:numId w:val="24"/>
        </w:numPr>
        <w:ind w:left="1080"/>
        <w:rPr>
          <w:lang w:val="en-GB"/>
        </w:rPr>
      </w:pPr>
      <w:r w:rsidRPr="00331FE3">
        <w:rPr>
          <w:lang w:val="en-GB"/>
        </w:rPr>
        <w:t>they are established for the specific purpose of meeting needs in the general interest, not having an industrial or commercial character;</w:t>
      </w:r>
    </w:p>
    <w:p w:rsidR="00427F1D" w:rsidRPr="00331FE3" w:rsidRDefault="00427F1D" w:rsidP="0037632E">
      <w:pPr>
        <w:ind w:left="360"/>
        <w:rPr>
          <w:lang w:val="en-GB"/>
        </w:rPr>
      </w:pPr>
    </w:p>
    <w:p w:rsidR="00427F1D" w:rsidRPr="00331FE3" w:rsidRDefault="00427F1D" w:rsidP="0037632E">
      <w:pPr>
        <w:pStyle w:val="Lijstalinea"/>
        <w:numPr>
          <w:ilvl w:val="0"/>
          <w:numId w:val="24"/>
        </w:numPr>
        <w:ind w:left="1080"/>
        <w:rPr>
          <w:lang w:val="en-GB"/>
        </w:rPr>
      </w:pPr>
      <w:r w:rsidRPr="00331FE3">
        <w:rPr>
          <w:lang w:val="en-GB"/>
        </w:rPr>
        <w:t>they have legal personality; and</w:t>
      </w:r>
    </w:p>
    <w:p w:rsidR="00427F1D" w:rsidRPr="00331FE3" w:rsidRDefault="00427F1D" w:rsidP="0037632E">
      <w:pPr>
        <w:ind w:left="360"/>
        <w:rPr>
          <w:lang w:val="en-GB"/>
        </w:rPr>
      </w:pPr>
    </w:p>
    <w:p w:rsidR="00B37403" w:rsidRPr="00331FE3" w:rsidRDefault="00427F1D" w:rsidP="0037632E">
      <w:pPr>
        <w:pStyle w:val="Lijstalinea"/>
        <w:numPr>
          <w:ilvl w:val="0"/>
          <w:numId w:val="24"/>
        </w:numPr>
        <w:ind w:left="1080"/>
        <w:rPr>
          <w:lang w:val="en-GB"/>
        </w:rPr>
      </w:pPr>
      <w:r w:rsidRPr="00331FE3">
        <w:rPr>
          <w:lang w:val="en-GB"/>
        </w:rPr>
        <w:t>they are financed, for the most part, by the State, regional or local authorities, or by other bodies governed by public law; or are subject to management supervision by those authorities or bodies; or have an administrative, managerial or supervisory board, more than half of whose members are appointed by the State, regional or local authorities, or by other bodies governed by public law;</w:t>
      </w:r>
    </w:p>
    <w:p w:rsidR="00331FE3" w:rsidRPr="00331FE3" w:rsidRDefault="00331FE3" w:rsidP="00331FE3">
      <w:pPr>
        <w:pStyle w:val="Lijstalinea"/>
        <w:rPr>
          <w:lang w:val="en-GB"/>
        </w:rPr>
      </w:pPr>
    </w:p>
    <w:p w:rsidR="00331FE3" w:rsidRPr="00331FE3" w:rsidRDefault="00331FE3" w:rsidP="00331FE3">
      <w:pPr>
        <w:pStyle w:val="Lijstalinea"/>
        <w:numPr>
          <w:ilvl w:val="0"/>
          <w:numId w:val="25"/>
        </w:numPr>
        <w:rPr>
          <w:b/>
          <w:lang w:val="en-GB"/>
        </w:rPr>
      </w:pPr>
      <w:r w:rsidRPr="00331FE3">
        <w:rPr>
          <w:b/>
          <w:lang w:val="en-GB"/>
        </w:rPr>
        <w:t>Private body</w:t>
      </w:r>
    </w:p>
    <w:p w:rsidR="00331FE3" w:rsidRPr="00331FE3" w:rsidRDefault="00331FE3" w:rsidP="00331FE3">
      <w:pPr>
        <w:ind w:left="360"/>
        <w:jc w:val="both"/>
        <w:rPr>
          <w:lang w:val="en-GB"/>
        </w:rPr>
      </w:pPr>
      <w:r w:rsidRPr="00331FE3">
        <w:rPr>
          <w:lang w:val="en-GB"/>
        </w:rPr>
        <w:t xml:space="preserve">All organisations that do not </w:t>
      </w:r>
      <w:r w:rsidR="0037632E">
        <w:rPr>
          <w:lang w:val="en-GB"/>
        </w:rPr>
        <w:t>fall under the definition above</w:t>
      </w:r>
      <w:r w:rsidRPr="00331FE3">
        <w:rPr>
          <w:lang w:val="en-GB"/>
        </w:rPr>
        <w:t xml:space="preserve"> </w:t>
      </w:r>
      <w:r w:rsidR="0037632E">
        <w:rPr>
          <w:lang w:val="en-GB"/>
        </w:rPr>
        <w:t xml:space="preserve">have to be considered as a </w:t>
      </w:r>
      <w:r w:rsidRPr="00331FE3">
        <w:rPr>
          <w:lang w:val="en-GB"/>
        </w:rPr>
        <w:t>private body</w:t>
      </w:r>
      <w:r w:rsidR="0037632E">
        <w:rPr>
          <w:lang w:val="en-GB"/>
        </w:rPr>
        <w:t xml:space="preserve">, as long as it is </w:t>
      </w:r>
      <w:r w:rsidR="0037632E" w:rsidRPr="00D82D15">
        <w:rPr>
          <w:lang w:val="en-GB"/>
        </w:rPr>
        <w:t>still ensured that t</w:t>
      </w:r>
      <w:r w:rsidRPr="00D82D15">
        <w:rPr>
          <w:lang w:val="en-GB"/>
        </w:rPr>
        <w:t>hat they have a legal personality.</w:t>
      </w:r>
      <w:r w:rsidRPr="00D82D15">
        <w:rPr>
          <w:lang w:val="en-GB"/>
        </w:rPr>
        <w:br/>
        <w:t xml:space="preserve">This obligation related to the legal personality derives from the definition of ‘Beneficiaries’ stipulated in </w:t>
      </w:r>
      <w:r w:rsidR="00517C5E" w:rsidRPr="00D82D15">
        <w:rPr>
          <w:lang w:val="en-GB"/>
        </w:rPr>
        <w:t>Regulation (EU) 2021/1060</w:t>
      </w:r>
      <w:r w:rsidR="00B81C63" w:rsidRPr="00D82D15">
        <w:rPr>
          <w:lang w:val="en-GB"/>
        </w:rPr>
        <w:t xml:space="preserve">, </w:t>
      </w:r>
      <w:r w:rsidRPr="00D82D15">
        <w:rPr>
          <w:lang w:val="en-GB"/>
        </w:rPr>
        <w:t>Art</w:t>
      </w:r>
      <w:r w:rsidR="00D82D15">
        <w:rPr>
          <w:lang w:val="en-GB"/>
        </w:rPr>
        <w:t>icle</w:t>
      </w:r>
      <w:r w:rsidRPr="00D82D15">
        <w:rPr>
          <w:lang w:val="en-GB"/>
        </w:rPr>
        <w:t xml:space="preserve"> 2 (</w:t>
      </w:r>
      <w:bookmarkStart w:id="0" w:name="_GoBack"/>
      <w:bookmarkEnd w:id="0"/>
      <w:r w:rsidR="00E348F8" w:rsidRPr="00D82D15">
        <w:rPr>
          <w:lang w:val="en-GB"/>
        </w:rPr>
        <w:t>9</w:t>
      </w:r>
      <w:r w:rsidRPr="00D82D15">
        <w:rPr>
          <w:lang w:val="en-GB"/>
        </w:rPr>
        <w:t>).</w:t>
      </w:r>
      <w:r w:rsidRPr="00331FE3">
        <w:rPr>
          <w:lang w:val="en-GB"/>
        </w:rPr>
        <w:t xml:space="preserve"> </w:t>
      </w:r>
    </w:p>
    <w:p w:rsidR="00331FE3" w:rsidRPr="0037632E" w:rsidRDefault="00331FE3" w:rsidP="0037632E">
      <w:pPr>
        <w:rPr>
          <w:lang w:val="en-GB"/>
        </w:rPr>
      </w:pPr>
    </w:p>
    <w:p w:rsidR="00427F1D" w:rsidRPr="00331FE3" w:rsidRDefault="00427F1D" w:rsidP="008B2216">
      <w:pPr>
        <w:rPr>
          <w:b/>
          <w:lang w:val="en-GB"/>
        </w:rPr>
      </w:pPr>
    </w:p>
    <w:p w:rsidR="00427F1D" w:rsidRPr="00331FE3" w:rsidRDefault="00427F1D" w:rsidP="008B2216">
      <w:pPr>
        <w:rPr>
          <w:b/>
          <w:lang w:val="en-GB"/>
        </w:rPr>
      </w:pPr>
    </w:p>
    <w:p w:rsidR="0037632E" w:rsidRDefault="0037632E" w:rsidP="008B2216">
      <w:pPr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br w:type="page"/>
      </w:r>
    </w:p>
    <w:p w:rsidR="0037632E" w:rsidRDefault="0037632E" w:rsidP="008B2216">
      <w:pPr>
        <w:rPr>
          <w:b/>
          <w:sz w:val="23"/>
          <w:szCs w:val="23"/>
          <w:lang w:val="en-GB"/>
        </w:rPr>
      </w:pPr>
    </w:p>
    <w:p w:rsidR="0037632E" w:rsidRDefault="0037632E" w:rsidP="008B2216">
      <w:pPr>
        <w:rPr>
          <w:b/>
          <w:sz w:val="23"/>
          <w:szCs w:val="23"/>
          <w:lang w:val="en-GB"/>
        </w:rPr>
      </w:pPr>
    </w:p>
    <w:p w:rsidR="0037632E" w:rsidRDefault="0037632E" w:rsidP="008B2216">
      <w:pPr>
        <w:rPr>
          <w:b/>
          <w:sz w:val="23"/>
          <w:szCs w:val="23"/>
          <w:lang w:val="en-GB"/>
        </w:rPr>
      </w:pPr>
    </w:p>
    <w:p w:rsidR="00B37403" w:rsidRDefault="00C842F6" w:rsidP="008B2216">
      <w:pPr>
        <w:rPr>
          <w:b/>
          <w:sz w:val="23"/>
          <w:szCs w:val="23"/>
          <w:lang w:val="en-GB"/>
        </w:rPr>
      </w:pPr>
      <w:r w:rsidRPr="00331FE3">
        <w:rPr>
          <w:b/>
          <w:sz w:val="23"/>
          <w:szCs w:val="23"/>
          <w:lang w:val="en-GB"/>
        </w:rPr>
        <w:t xml:space="preserve">Annex </w:t>
      </w:r>
      <w:r w:rsidR="00B37403" w:rsidRPr="00331FE3">
        <w:rPr>
          <w:b/>
          <w:sz w:val="23"/>
          <w:szCs w:val="23"/>
          <w:lang w:val="en-GB"/>
        </w:rPr>
        <w:t>B</w:t>
      </w:r>
    </w:p>
    <w:p w:rsidR="0037632E" w:rsidRPr="00331FE3" w:rsidRDefault="0037632E" w:rsidP="008B2216">
      <w:pPr>
        <w:rPr>
          <w:b/>
          <w:lang w:val="en-GB"/>
        </w:rPr>
      </w:pPr>
    </w:p>
    <w:p w:rsidR="00C842F6" w:rsidRPr="00331FE3" w:rsidRDefault="00B37403" w:rsidP="008B2216">
      <w:pPr>
        <w:rPr>
          <w:b/>
          <w:lang w:val="en-GB"/>
        </w:rPr>
      </w:pPr>
      <w:r w:rsidRPr="00331FE3">
        <w:rPr>
          <w:b/>
          <w:lang w:val="en-GB"/>
        </w:rPr>
        <w:t>Regulation (EU) No 651/</w:t>
      </w:r>
      <w:r w:rsidR="0037632E">
        <w:rPr>
          <w:b/>
          <w:lang w:val="en-GB"/>
        </w:rPr>
        <w:t>2014, a</w:t>
      </w:r>
      <w:r w:rsidRPr="00331FE3">
        <w:rPr>
          <w:b/>
          <w:lang w:val="en-GB"/>
        </w:rPr>
        <w:t>rticle 2 (18)</w:t>
      </w:r>
    </w:p>
    <w:p w:rsidR="00B37403" w:rsidRPr="00331FE3" w:rsidRDefault="00B37403" w:rsidP="00B37403">
      <w:pPr>
        <w:rPr>
          <w:i/>
          <w:lang w:val="en-GB"/>
        </w:rPr>
      </w:pPr>
      <w:r w:rsidRPr="00331FE3">
        <w:rPr>
          <w:i/>
          <w:lang w:val="en-GB"/>
        </w:rPr>
        <w:t>Note: elements marked in bold only for better readability</w:t>
      </w:r>
    </w:p>
    <w:p w:rsidR="00C842F6" w:rsidRPr="00331FE3" w:rsidRDefault="00C842F6" w:rsidP="008B2216">
      <w:pPr>
        <w:rPr>
          <w:b/>
          <w:sz w:val="23"/>
          <w:szCs w:val="23"/>
          <w:lang w:val="en-GB"/>
        </w:rPr>
      </w:pPr>
    </w:p>
    <w:p w:rsidR="00C842F6" w:rsidRPr="00331FE3" w:rsidRDefault="00C842F6" w:rsidP="008B2216">
      <w:pPr>
        <w:rPr>
          <w:lang w:val="en-GB"/>
        </w:rPr>
      </w:pPr>
    </w:p>
    <w:p w:rsidR="00B06BA8" w:rsidRPr="00331FE3" w:rsidRDefault="008B2216" w:rsidP="008B2216">
      <w:pPr>
        <w:pStyle w:val="Lijstalinea"/>
        <w:numPr>
          <w:ilvl w:val="0"/>
          <w:numId w:val="23"/>
        </w:numPr>
        <w:rPr>
          <w:lang w:val="en-GB"/>
        </w:rPr>
      </w:pP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case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limited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liability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(other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SME that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been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existence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less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three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years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or,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purposes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eligibility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risk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finance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aid,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SME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within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7</w:t>
      </w:r>
      <w:r w:rsidR="002D7929">
        <w:rPr>
          <w:lang w:val="en-GB"/>
        </w:rPr>
        <w:t> </w:t>
      </w:r>
      <w:r w:rsidRPr="00331FE3">
        <w:rPr>
          <w:lang w:val="en-GB"/>
        </w:rPr>
        <w:t>years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from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first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commercial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sale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qualifies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risk finance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investments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following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due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diligence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 xml:space="preserve">selected financial intermediary), where </w:t>
      </w:r>
      <w:r w:rsidRPr="00331FE3">
        <w:rPr>
          <w:b/>
          <w:lang w:val="en-GB"/>
        </w:rPr>
        <w:t>more than half of its subscribed share capital has disappeared as a result of accumulated losses</w:t>
      </w:r>
      <w:r w:rsidRPr="00331FE3">
        <w:rPr>
          <w:lang w:val="en-GB"/>
        </w:rPr>
        <w:t xml:space="preserve">. 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B06BA8" w:rsidRPr="00331FE3" w:rsidRDefault="008B2216" w:rsidP="00B06BA8">
      <w:pPr>
        <w:pStyle w:val="Lijstalinea"/>
        <w:rPr>
          <w:lang w:val="en-GB"/>
        </w:rPr>
      </w:pPr>
      <w:r w:rsidRPr="00331FE3">
        <w:rPr>
          <w:lang w:val="en-GB"/>
        </w:rPr>
        <w:t>This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case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when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deduction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 accumulated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losses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 xml:space="preserve">from reserves (and all other elements generally considered as part of the own funds of the company) leads to a negative cumulative amount that exceeds half of the subscribed share capital. 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8B2216" w:rsidRPr="00331FE3" w:rsidRDefault="008B2216" w:rsidP="00B06BA8">
      <w:pPr>
        <w:pStyle w:val="Lijstalinea"/>
        <w:rPr>
          <w:lang w:val="en-GB"/>
        </w:rPr>
      </w:pPr>
      <w:r w:rsidRPr="00331FE3">
        <w:rPr>
          <w:lang w:val="en-GB"/>
        </w:rPr>
        <w:t>For the purposes of this provision, ‘limited liability company’ refers in particular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to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types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mentioned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Annex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Directive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2013/34/EU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(1)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‘share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capital’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includes,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where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relevant, any share premium.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B06BA8" w:rsidRPr="00331FE3" w:rsidRDefault="008B2216" w:rsidP="008B2216">
      <w:pPr>
        <w:pStyle w:val="Lijstalinea"/>
        <w:numPr>
          <w:ilvl w:val="0"/>
          <w:numId w:val="23"/>
        </w:numPr>
        <w:rPr>
          <w:lang w:val="en-GB"/>
        </w:rPr>
      </w:pP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case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where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least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some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members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have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unlimited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liability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for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the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debt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(other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SME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been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existence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less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three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years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or,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purposes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eligibility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risk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finance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aid,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SME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within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7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years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from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first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commercial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sale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qualifies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risk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finance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investments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following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due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diligence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 selected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fi</w:t>
      </w:r>
      <w:r w:rsidR="00EA0925" w:rsidRPr="00331FE3">
        <w:rPr>
          <w:lang w:val="en-GB"/>
        </w:rPr>
        <w:t xml:space="preserve">nancial intermediary), where </w:t>
      </w:r>
      <w:r w:rsidRPr="00331FE3">
        <w:rPr>
          <w:b/>
          <w:lang w:val="en-GB"/>
        </w:rPr>
        <w:t>more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than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half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of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its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 xml:space="preserve">capital as shown in the company accounts has disappeared as </w:t>
      </w:r>
      <w:r w:rsidR="00EA0925" w:rsidRPr="00331FE3">
        <w:rPr>
          <w:b/>
          <w:lang w:val="en-GB"/>
        </w:rPr>
        <w:t>a</w:t>
      </w:r>
      <w:r w:rsidRPr="00331FE3">
        <w:rPr>
          <w:b/>
          <w:lang w:val="en-GB"/>
        </w:rPr>
        <w:t xml:space="preserve"> result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of</w:t>
      </w:r>
      <w:r w:rsidR="00B06BA8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accumulated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losses.</w:t>
      </w:r>
      <w:r w:rsidR="00EA0925" w:rsidRPr="00331FE3">
        <w:rPr>
          <w:lang w:val="en-GB"/>
        </w:rPr>
        <w:t xml:space="preserve"> 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8B2216" w:rsidRPr="00331FE3" w:rsidRDefault="008B2216" w:rsidP="00B06BA8">
      <w:pPr>
        <w:pStyle w:val="Lijstalinea"/>
        <w:rPr>
          <w:lang w:val="en-GB"/>
        </w:rPr>
      </w:pP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purposes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this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provision,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‘a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where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least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some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members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have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unlimited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liability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debt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company’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refers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particular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to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types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company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mentioned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Annex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II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Directive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2013/34/EU.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8B2216" w:rsidRPr="00331FE3" w:rsidRDefault="008B2216" w:rsidP="008B2216">
      <w:pPr>
        <w:pStyle w:val="Lijstalinea"/>
        <w:numPr>
          <w:ilvl w:val="0"/>
          <w:numId w:val="23"/>
        </w:numPr>
        <w:rPr>
          <w:lang w:val="en-GB"/>
        </w:rPr>
      </w:pPr>
      <w:r w:rsidRPr="00331FE3">
        <w:rPr>
          <w:lang w:val="en-GB"/>
        </w:rPr>
        <w:t>Where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undertaking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subject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to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collective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insolvency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proceedings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fulfils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criteria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domestic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law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being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placed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collective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insolvency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proceedings 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 request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its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creditors.</w:t>
      </w:r>
    </w:p>
    <w:p w:rsidR="00B06BA8" w:rsidRPr="00331FE3" w:rsidRDefault="00B06BA8" w:rsidP="00B06BA8">
      <w:pPr>
        <w:pStyle w:val="Lijstalinea"/>
        <w:rPr>
          <w:lang w:val="en-GB"/>
        </w:rPr>
      </w:pPr>
    </w:p>
    <w:p w:rsidR="008B2216" w:rsidRPr="00331FE3" w:rsidRDefault="008B2216" w:rsidP="00B06BA8">
      <w:pPr>
        <w:pStyle w:val="Lijstalinea"/>
        <w:numPr>
          <w:ilvl w:val="0"/>
          <w:numId w:val="23"/>
        </w:numPr>
        <w:rPr>
          <w:lang w:val="en-GB"/>
        </w:rPr>
      </w:pPr>
      <w:r w:rsidRPr="00331FE3">
        <w:rPr>
          <w:lang w:val="en-GB"/>
        </w:rPr>
        <w:t>Where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undertaking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received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rescue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aid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not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yet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reimbursed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loan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terminated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guarantee,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 xml:space="preserve">received </w:t>
      </w:r>
      <w:r w:rsidRPr="00331FE3">
        <w:rPr>
          <w:b/>
          <w:lang w:val="en-GB"/>
        </w:rPr>
        <w:t>restructuring aid</w:t>
      </w:r>
      <w:r w:rsidRPr="00331FE3">
        <w:rPr>
          <w:lang w:val="en-GB"/>
        </w:rPr>
        <w:t xml:space="preserve"> and is still subject to a </w:t>
      </w:r>
      <w:r w:rsidRPr="00331FE3">
        <w:rPr>
          <w:b/>
          <w:lang w:val="en-GB"/>
        </w:rPr>
        <w:t>restructuring plan</w:t>
      </w:r>
      <w:r w:rsidRPr="00331FE3">
        <w:rPr>
          <w:lang w:val="en-GB"/>
        </w:rPr>
        <w:t>.</w:t>
      </w:r>
    </w:p>
    <w:p w:rsidR="00B06BA8" w:rsidRPr="00331FE3" w:rsidRDefault="00B06BA8" w:rsidP="00B06BA8">
      <w:pPr>
        <w:rPr>
          <w:lang w:val="en-GB"/>
        </w:rPr>
      </w:pPr>
    </w:p>
    <w:p w:rsidR="008B2216" w:rsidRPr="00331FE3" w:rsidRDefault="008B2216" w:rsidP="008B2216">
      <w:pPr>
        <w:pStyle w:val="Lijstalinea"/>
        <w:numPr>
          <w:ilvl w:val="0"/>
          <w:numId w:val="23"/>
        </w:numPr>
        <w:rPr>
          <w:lang w:val="en-GB"/>
        </w:rPr>
      </w:pPr>
      <w:r w:rsidRPr="00331FE3">
        <w:rPr>
          <w:lang w:val="en-GB"/>
        </w:rPr>
        <w:t>In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case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of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undertaking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that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is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not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an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SME</w:t>
      </w:r>
      <w:r w:rsidRPr="00331FE3">
        <w:rPr>
          <w:lang w:val="en-GB"/>
        </w:rPr>
        <w:t>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where,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for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past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two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years:</w:t>
      </w:r>
    </w:p>
    <w:p w:rsidR="008B2216" w:rsidRPr="00331FE3" w:rsidRDefault="008B2216" w:rsidP="008B2216">
      <w:pPr>
        <w:pStyle w:val="Lijstalinea"/>
        <w:numPr>
          <w:ilvl w:val="1"/>
          <w:numId w:val="23"/>
        </w:numPr>
        <w:rPr>
          <w:lang w:val="en-GB"/>
        </w:rPr>
      </w:pP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undertaking's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book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debt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to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equity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ratio</w:t>
      </w:r>
      <w:r w:rsidR="00EA0925" w:rsidRPr="00331FE3">
        <w:rPr>
          <w:b/>
          <w:lang w:val="en-GB"/>
        </w:rPr>
        <w:t xml:space="preserve"> </w:t>
      </w:r>
      <w:r w:rsidRPr="00331FE3">
        <w:rPr>
          <w:lang w:val="en-GB"/>
        </w:rPr>
        <w:t>has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been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greater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than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7,5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and</w:t>
      </w:r>
    </w:p>
    <w:p w:rsidR="008B2216" w:rsidRPr="00331FE3" w:rsidRDefault="008B2216" w:rsidP="008B2216">
      <w:pPr>
        <w:pStyle w:val="Lijstalinea"/>
        <w:numPr>
          <w:ilvl w:val="1"/>
          <w:numId w:val="23"/>
        </w:numPr>
        <w:rPr>
          <w:lang w:val="en-GB"/>
        </w:rPr>
      </w:pPr>
      <w:r w:rsidRPr="00331FE3">
        <w:rPr>
          <w:lang w:val="en-GB"/>
        </w:rPr>
        <w:t>the</w:t>
      </w:r>
      <w:r w:rsidR="00EA0925" w:rsidRPr="00331FE3">
        <w:rPr>
          <w:lang w:val="en-GB"/>
        </w:rPr>
        <w:t xml:space="preserve"> </w:t>
      </w:r>
      <w:r w:rsidRPr="00331FE3">
        <w:rPr>
          <w:lang w:val="en-GB"/>
        </w:rPr>
        <w:t>undertaking's</w:t>
      </w:r>
      <w:r w:rsidR="00EA0925" w:rsidRPr="00331FE3">
        <w:rPr>
          <w:lang w:val="en-GB"/>
        </w:rPr>
        <w:t xml:space="preserve"> </w:t>
      </w:r>
      <w:r w:rsidRPr="00331FE3">
        <w:rPr>
          <w:b/>
          <w:lang w:val="en-GB"/>
        </w:rPr>
        <w:t>EBITDA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interest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coverage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ratio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has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been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below</w:t>
      </w:r>
      <w:r w:rsidR="00EA0925" w:rsidRPr="00331FE3">
        <w:rPr>
          <w:b/>
          <w:lang w:val="en-GB"/>
        </w:rPr>
        <w:t xml:space="preserve"> </w:t>
      </w:r>
      <w:r w:rsidRPr="00331FE3">
        <w:rPr>
          <w:b/>
          <w:lang w:val="en-GB"/>
        </w:rPr>
        <w:t>1,0</w:t>
      </w:r>
      <w:r w:rsidR="002F0B8B">
        <w:rPr>
          <w:b/>
          <w:lang w:val="en-GB"/>
        </w:rPr>
        <w:t>.</w:t>
      </w:r>
    </w:p>
    <w:p w:rsidR="009E1941" w:rsidRPr="00331FE3" w:rsidRDefault="009E1941" w:rsidP="00AB4B28">
      <w:pPr>
        <w:rPr>
          <w:lang w:val="en-GB"/>
        </w:rPr>
      </w:pPr>
    </w:p>
    <w:sectPr w:rsidR="009E1941" w:rsidRPr="00331FE3" w:rsidSect="00AF1D91">
      <w:headerReference w:type="default" r:id="rId8"/>
      <w:headerReference w:type="first" r:id="rId9"/>
      <w:type w:val="continuous"/>
      <w:pgSz w:w="11906" w:h="16838" w:code="9"/>
      <w:pgMar w:top="1418" w:right="1418" w:bottom="1418" w:left="1418" w:header="1276" w:footer="99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16" w:rsidRDefault="008B2216">
      <w:r>
        <w:separator/>
      </w:r>
    </w:p>
  </w:endnote>
  <w:endnote w:type="continuationSeparator" w:id="0">
    <w:p w:rsidR="008B2216" w:rsidRDefault="008B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16" w:rsidRDefault="008B2216">
      <w:r>
        <w:separator/>
      </w:r>
    </w:p>
  </w:footnote>
  <w:footnote w:type="continuationSeparator" w:id="0">
    <w:p w:rsidR="008B2216" w:rsidRDefault="008B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1" w:rsidRDefault="00E12D6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-372110</wp:posOffset>
          </wp:positionV>
          <wp:extent cx="3429000" cy="7620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25" w:rsidRPr="00AF1D91" w:rsidRDefault="00AF1D91">
    <w:pPr>
      <w:pStyle w:val="Koptekst"/>
    </w:pPr>
    <w:r w:rsidRPr="00AF1D91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C54CD05" wp14:editId="0C4A1FCF">
          <wp:simplePos x="0" y="0"/>
          <wp:positionH relativeFrom="column">
            <wp:posOffset>-709930</wp:posOffset>
          </wp:positionH>
          <wp:positionV relativeFrom="paragraph">
            <wp:posOffset>-686435</wp:posOffset>
          </wp:positionV>
          <wp:extent cx="3552825" cy="118906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Euregio Meuse-Rhine_NL_FUN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514" cy="118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330D32BB"/>
    <w:multiLevelType w:val="hybridMultilevel"/>
    <w:tmpl w:val="D99601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37CF"/>
    <w:multiLevelType w:val="hybridMultilevel"/>
    <w:tmpl w:val="7FE4BD34"/>
    <w:lvl w:ilvl="0" w:tplc="2F4CC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683E5D71"/>
    <w:multiLevelType w:val="hybridMultilevel"/>
    <w:tmpl w:val="39E68B9C"/>
    <w:lvl w:ilvl="0" w:tplc="CC044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0"/>
  </w:num>
  <w:num w:numId="22">
    <w:abstractNumId w:val="5"/>
  </w:num>
  <w:num w:numId="23">
    <w:abstractNumId w:val="6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16"/>
    <w:rsid w:val="000A73F6"/>
    <w:rsid w:val="00166D2A"/>
    <w:rsid w:val="001B6759"/>
    <w:rsid w:val="002D7929"/>
    <w:rsid w:val="002F0B8B"/>
    <w:rsid w:val="0030563B"/>
    <w:rsid w:val="00331FE3"/>
    <w:rsid w:val="0037632E"/>
    <w:rsid w:val="0039219F"/>
    <w:rsid w:val="003B21D5"/>
    <w:rsid w:val="003E734F"/>
    <w:rsid w:val="003E7458"/>
    <w:rsid w:val="0042770A"/>
    <w:rsid w:val="00427F1D"/>
    <w:rsid w:val="00432377"/>
    <w:rsid w:val="00456C1D"/>
    <w:rsid w:val="004E08F2"/>
    <w:rsid w:val="004F2113"/>
    <w:rsid w:val="00517C5E"/>
    <w:rsid w:val="005F4937"/>
    <w:rsid w:val="006E05D3"/>
    <w:rsid w:val="0073448D"/>
    <w:rsid w:val="00790D30"/>
    <w:rsid w:val="008029BD"/>
    <w:rsid w:val="008B2216"/>
    <w:rsid w:val="00912EE2"/>
    <w:rsid w:val="00932012"/>
    <w:rsid w:val="00932AC5"/>
    <w:rsid w:val="009A4456"/>
    <w:rsid w:val="009C081C"/>
    <w:rsid w:val="009E1941"/>
    <w:rsid w:val="00A40E9E"/>
    <w:rsid w:val="00A5138B"/>
    <w:rsid w:val="00AA51A1"/>
    <w:rsid w:val="00AB4B28"/>
    <w:rsid w:val="00AF1D91"/>
    <w:rsid w:val="00AF45C4"/>
    <w:rsid w:val="00B06BA8"/>
    <w:rsid w:val="00B37403"/>
    <w:rsid w:val="00B4347D"/>
    <w:rsid w:val="00B81C63"/>
    <w:rsid w:val="00B9327D"/>
    <w:rsid w:val="00BB7CF0"/>
    <w:rsid w:val="00C036F4"/>
    <w:rsid w:val="00C842F6"/>
    <w:rsid w:val="00CE4E13"/>
    <w:rsid w:val="00D82D15"/>
    <w:rsid w:val="00DB449B"/>
    <w:rsid w:val="00E12D65"/>
    <w:rsid w:val="00E17EF8"/>
    <w:rsid w:val="00E348F8"/>
    <w:rsid w:val="00EA0925"/>
    <w:rsid w:val="00EE0E44"/>
    <w:rsid w:val="00F300F0"/>
    <w:rsid w:val="00F6503B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E7FCF8"/>
  <w15:docId w15:val="{13182FAC-426E-4A72-8023-80E57B00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2216"/>
    <w:pPr>
      <w:spacing w:line="28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E734F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3E734F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Kop3">
    <w:name w:val="heading 3"/>
    <w:basedOn w:val="Standaard"/>
    <w:next w:val="Standaard"/>
    <w:link w:val="Kop3Char"/>
    <w:qFormat/>
    <w:rsid w:val="003E734F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3E734F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3E734F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20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Koptekst">
    <w:name w:val="header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Voettekst">
    <w:name w:val="footer"/>
    <w:basedOn w:val="Standaard"/>
    <w:link w:val="VoettekstChar"/>
    <w:rsid w:val="003E734F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semiHidden/>
    <w:rsid w:val="003E734F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Inhopg2">
    <w:name w:val="toc 2"/>
    <w:basedOn w:val="Standaard"/>
    <w:next w:val="Standaard"/>
    <w:autoRedefine/>
    <w:semiHidden/>
    <w:rsid w:val="003E734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3E734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3E734F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rsid w:val="003E734F"/>
    <w:pPr>
      <w:numPr>
        <w:numId w:val="21"/>
      </w:numPr>
      <w:tabs>
        <w:tab w:val="left" w:pos="425"/>
      </w:tabs>
    </w:pPr>
  </w:style>
  <w:style w:type="paragraph" w:customStyle="1" w:styleId="opsom2">
    <w:name w:val="opsom2"/>
    <w:basedOn w:val="Standaard"/>
    <w:rsid w:val="003E734F"/>
    <w:pPr>
      <w:numPr>
        <w:numId w:val="22"/>
      </w:numPr>
      <w:tabs>
        <w:tab w:val="left" w:pos="851"/>
      </w:tabs>
    </w:p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Voetnootmarkering">
    <w:name w:val="footnote reference"/>
    <w:basedOn w:val="Standaardalinea-lettertype"/>
    <w:uiPriority w:val="99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Kop1"/>
    <w:next w:val="Standaard"/>
    <w:rsid w:val="003E734F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rsid w:val="003E734F"/>
    <w:pPr>
      <w:spacing w:before="120"/>
    </w:pPr>
    <w:rPr>
      <w:i/>
      <w:spacing w:val="6"/>
      <w:sz w:val="18"/>
    </w:rPr>
  </w:style>
  <w:style w:type="character" w:customStyle="1" w:styleId="refkopjes">
    <w:name w:val="refkopjes"/>
    <w:rsid w:val="003E734F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3E734F"/>
    <w:rPr>
      <w:b/>
      <w:caps/>
    </w:rPr>
  </w:style>
  <w:style w:type="paragraph" w:customStyle="1" w:styleId="Alineakop">
    <w:name w:val="Alineakop"/>
    <w:basedOn w:val="Standaard"/>
    <w:next w:val="Standaard"/>
    <w:rsid w:val="003E734F"/>
    <w:rPr>
      <w:b/>
    </w:rPr>
  </w:style>
  <w:style w:type="paragraph" w:customStyle="1" w:styleId="Subalineakop">
    <w:name w:val="Subalineakop"/>
    <w:basedOn w:val="Standaard"/>
    <w:next w:val="Standaard"/>
    <w:rsid w:val="003E734F"/>
    <w:rPr>
      <w:i/>
    </w:rPr>
  </w:style>
  <w:style w:type="paragraph" w:customStyle="1" w:styleId="formuliernaam">
    <w:name w:val="formuliernaam"/>
    <w:basedOn w:val="Standaard"/>
    <w:next w:val="Standaard"/>
    <w:rsid w:val="003E734F"/>
    <w:rPr>
      <w:sz w:val="40"/>
    </w:rPr>
  </w:style>
  <w:style w:type="paragraph" w:customStyle="1" w:styleId="refkop">
    <w:name w:val="refkop"/>
    <w:basedOn w:val="Standaard"/>
    <w:rsid w:val="003E734F"/>
    <w:pPr>
      <w:spacing w:line="240" w:lineRule="auto"/>
    </w:pPr>
    <w:rPr>
      <w:rFonts w:ascii="Arial Narrow" w:hAnsi="Arial Narrow"/>
      <w:sz w:val="18"/>
    </w:rPr>
  </w:style>
  <w:style w:type="paragraph" w:styleId="Titel">
    <w:name w:val="Title"/>
    <w:basedOn w:val="Standaard"/>
    <w:link w:val="TitelChar"/>
    <w:qFormat/>
    <w:rsid w:val="003E734F"/>
    <w:pPr>
      <w:spacing w:before="240" w:after="60"/>
      <w:outlineLvl w:val="0"/>
    </w:pPr>
    <w:rPr>
      <w:kern w:val="28"/>
      <w:sz w:val="40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  <w:szCs w:val="24"/>
    </w:rPr>
  </w:style>
  <w:style w:type="paragraph" w:customStyle="1" w:styleId="voorkop">
    <w:name w:val="voorkop"/>
    <w:rsid w:val="003E734F"/>
    <w:pPr>
      <w:spacing w:line="280" w:lineRule="atLeast"/>
    </w:pPr>
    <w:rPr>
      <w:rFonts w:ascii="Arial" w:hAnsi="Arial"/>
      <w:b/>
      <w:lang w:eastAsia="en-US"/>
    </w:rPr>
  </w:style>
  <w:style w:type="character" w:customStyle="1" w:styleId="Kop1Char">
    <w:name w:val="Kop 1 Char"/>
    <w:basedOn w:val="Standaardalinea-lettertype"/>
    <w:link w:val="Kop1"/>
    <w:rsid w:val="003E734F"/>
    <w:rPr>
      <w:rFonts w:ascii="Arial" w:hAnsi="Arial"/>
      <w:b/>
      <w:lang w:eastAsia="en-US"/>
    </w:rPr>
  </w:style>
  <w:style w:type="character" w:customStyle="1" w:styleId="Kop2Char">
    <w:name w:val="Kop 2 Char"/>
    <w:basedOn w:val="Standaardalinea-lettertype"/>
    <w:link w:val="Kop2"/>
    <w:rsid w:val="003E734F"/>
    <w:rPr>
      <w:rFonts w:ascii="Arial" w:hAnsi="Arial"/>
      <w:b/>
      <w:noProof/>
      <w:lang w:eastAsia="en-US"/>
    </w:rPr>
  </w:style>
  <w:style w:type="character" w:customStyle="1" w:styleId="Kop3Char">
    <w:name w:val="Kop 3 Char"/>
    <w:basedOn w:val="Standaardalinea-lettertype"/>
    <w:link w:val="Kop3"/>
    <w:rsid w:val="003E734F"/>
    <w:rPr>
      <w:rFonts w:ascii="Arial" w:hAnsi="Arial"/>
      <w:b/>
      <w:lang w:eastAsia="en-US"/>
    </w:rPr>
  </w:style>
  <w:style w:type="character" w:customStyle="1" w:styleId="Kop4Char">
    <w:name w:val="Kop 4 Char"/>
    <w:basedOn w:val="Standaardalinea-lettertype"/>
    <w:link w:val="Kop4"/>
    <w:rsid w:val="003E734F"/>
    <w:rPr>
      <w:rFonts w:ascii="Arial" w:hAnsi="Arial"/>
      <w:b/>
      <w:lang w:eastAsia="en-US"/>
    </w:rPr>
  </w:style>
  <w:style w:type="character" w:customStyle="1" w:styleId="Kop5Char">
    <w:name w:val="Kop 5 Char"/>
    <w:basedOn w:val="Standaardalinea-lettertype"/>
    <w:link w:val="Kop5"/>
    <w:rsid w:val="003E734F"/>
    <w:rPr>
      <w:rFonts w:ascii="Arial" w:hAnsi="Arial"/>
      <w:spacing w:val="6"/>
      <w:lang w:eastAsia="en-US"/>
    </w:rPr>
  </w:style>
  <w:style w:type="character" w:customStyle="1" w:styleId="TitelChar">
    <w:name w:val="Titel Char"/>
    <w:basedOn w:val="Standaardalinea-lettertype"/>
    <w:link w:val="Titel"/>
    <w:rsid w:val="003E734F"/>
    <w:rPr>
      <w:rFonts w:ascii="Arial" w:hAnsi="Arial"/>
      <w:kern w:val="28"/>
      <w:sz w:val="40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3E734F"/>
    <w:rPr>
      <w:rFonts w:ascii="Arial" w:hAnsi="Arial"/>
      <w:sz w:val="15"/>
      <w:lang w:eastAsia="en-US"/>
    </w:rPr>
  </w:style>
  <w:style w:type="paragraph" w:styleId="Lijstalinea">
    <w:name w:val="List Paragraph"/>
    <w:basedOn w:val="Standaard"/>
    <w:uiPriority w:val="34"/>
    <w:qFormat/>
    <w:rsid w:val="008B2216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2216"/>
    <w:rPr>
      <w:rFonts w:ascii="Arial" w:hAnsi="Arial"/>
      <w:sz w:val="16"/>
      <w:lang w:eastAsia="en-US"/>
    </w:rPr>
  </w:style>
  <w:style w:type="paragraph" w:styleId="Ballontekst">
    <w:name w:val="Balloon Text"/>
    <w:basedOn w:val="Standaard"/>
    <w:link w:val="BallontekstChar"/>
    <w:rsid w:val="00734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3448D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73448D"/>
    <w:rPr>
      <w:color w:val="808080"/>
    </w:rPr>
  </w:style>
  <w:style w:type="table" w:styleId="Tabelraster">
    <w:name w:val="Table Grid"/>
    <w:basedOn w:val="Standaardtabel"/>
    <w:rsid w:val="0073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A521-ABEB-4F63-936D-159E780A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Provincie Limburg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Johanna Bähn</dc:creator>
  <cp:lastModifiedBy>Heuts, Paul</cp:lastModifiedBy>
  <cp:revision>7</cp:revision>
  <cp:lastPrinted>1999-02-10T12:28:00Z</cp:lastPrinted>
  <dcterms:created xsi:type="dcterms:W3CDTF">2023-05-01T14:52:00Z</dcterms:created>
  <dcterms:modified xsi:type="dcterms:W3CDTF">2023-05-01T15:07:00Z</dcterms:modified>
</cp:coreProperties>
</file>